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697097" w:rsidP="004A6D2F">
            <w:pPr>
              <w:rPr>
                <w:rStyle w:val="Firstpagetablebold"/>
              </w:rPr>
            </w:pPr>
            <w:r>
              <w:rPr>
                <w:rStyle w:val="Firstpagetablebold"/>
              </w:rPr>
              <w:t>Scrutiny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CE0D9C" w:rsidP="007C36B9">
            <w:pPr>
              <w:rPr>
                <w:b/>
              </w:rPr>
            </w:pPr>
            <w:r>
              <w:rPr>
                <w:rStyle w:val="Firstpagetablebold"/>
              </w:rPr>
              <w:t>8 September</w:t>
            </w:r>
            <w:r w:rsidR="006E2BC5">
              <w:rPr>
                <w:rStyle w:val="Firstpagetablebold"/>
              </w:rPr>
              <w:t xml:space="preserve"> 2021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D1DFA" w:rsidP="00697097">
            <w:pPr>
              <w:rPr>
                <w:rStyle w:val="Firstpagetablebold"/>
              </w:rPr>
            </w:pPr>
            <w:r w:rsidRPr="001356F1">
              <w:rPr>
                <w:rStyle w:val="Firstpagetablebold"/>
              </w:rPr>
              <w:t>E</w:t>
            </w:r>
            <w:r w:rsidR="00697097">
              <w:rPr>
                <w:rStyle w:val="Firstpagetablebold"/>
              </w:rPr>
              <w:t>conomic Development Manager</w:t>
            </w:r>
            <w:r w:rsidR="006E2BC5">
              <w:rPr>
                <w:rStyle w:val="Firstpagetablebold"/>
              </w:rPr>
              <w:t xml:space="preserve"> and City Centre Manager</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697097" w:rsidP="00697097">
            <w:pPr>
              <w:rPr>
                <w:rStyle w:val="Firstpagetablebold"/>
              </w:rPr>
            </w:pPr>
            <w:r>
              <w:rPr>
                <w:rStyle w:val="Firstpagetablebold"/>
              </w:rPr>
              <w:t>Tourism Review Recommendations Update</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697097" w:rsidP="00DB7AD7">
            <w:r w:rsidRPr="00697097">
              <w:t>An update report on the progress made against recommendations arising from the Tourism Review Group</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697097" w:rsidP="005F7F7E">
            <w:r>
              <w:t>No</w:t>
            </w:r>
          </w:p>
        </w:tc>
      </w:tr>
      <w:tr w:rsidR="00D5547E" w:rsidTr="0080749A">
        <w:tc>
          <w:tcPr>
            <w:tcW w:w="2438"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697097" w:rsidP="005F7F7E">
            <w:r>
              <w:t xml:space="preserve">Cllr Mary Clarkson </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697097" w:rsidP="005F7F7E">
            <w:r>
              <w:t>Inclusive Economy</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697097" w:rsidP="005F7F7E">
            <w:r>
              <w:t xml:space="preserve">Economic Development Strategy </w:t>
            </w:r>
          </w:p>
        </w:tc>
      </w:tr>
      <w:tr w:rsidR="005F7F7E" w:rsidRPr="00975B07" w:rsidTr="00A46E98">
        <w:trPr>
          <w:trHeight w:val="413"/>
        </w:trPr>
        <w:tc>
          <w:tcPr>
            <w:tcW w:w="8845" w:type="dxa"/>
            <w:gridSpan w:val="3"/>
            <w:tcBorders>
              <w:bottom w:val="single" w:sz="8" w:space="0" w:color="000000"/>
            </w:tcBorders>
          </w:tcPr>
          <w:p w:rsidR="005F7F7E" w:rsidRPr="00975B07" w:rsidRDefault="005545D5" w:rsidP="00697097">
            <w:r>
              <w:rPr>
                <w:rStyle w:val="Firstpagetablebold"/>
              </w:rPr>
              <w:t>Recommendation</w:t>
            </w:r>
            <w:r w:rsidR="005F7F7E">
              <w:rPr>
                <w:rStyle w:val="Firstpagetablebold"/>
              </w:rPr>
              <w:t>:</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697097" w:rsidP="002069B3">
            <w:r>
              <w:rPr>
                <w:rStyle w:val="Firstpagetablebold"/>
              </w:rPr>
              <w:t>Members note and comment on the update</w:t>
            </w:r>
            <w:r w:rsidR="0030208D" w:rsidRPr="001356F1">
              <w:t xml:space="preserve"> </w:t>
            </w:r>
          </w:p>
        </w:tc>
      </w:tr>
      <w:tr w:rsidR="00232F5B" w:rsidRPr="00975B07" w:rsidTr="00697097">
        <w:trPr>
          <w:trHeight w:val="56"/>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Default="00CE544A" w:rsidP="004A6D2F"/>
    <w:p w:rsidR="005545D5" w:rsidRPr="009E51FC" w:rsidRDefault="005545D5"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697097">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697097">
        <w:tc>
          <w:tcPr>
            <w:tcW w:w="2438" w:type="dxa"/>
            <w:tcBorders>
              <w:top w:val="single" w:sz="8" w:space="0" w:color="000000"/>
              <w:left w:val="single" w:sz="8" w:space="0" w:color="000000"/>
              <w:bottom w:val="single" w:sz="4" w:space="0" w:color="auto"/>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single" w:sz="4" w:space="0" w:color="auto"/>
              <w:right w:val="single" w:sz="8" w:space="0" w:color="000000"/>
            </w:tcBorders>
          </w:tcPr>
          <w:p w:rsidR="00ED5860" w:rsidRPr="001356F1" w:rsidRDefault="00697097" w:rsidP="004A6D2F">
            <w:r>
              <w:t xml:space="preserve">Action Plan Update </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491A03" w:rsidRDefault="00697097" w:rsidP="00491A03">
      <w:pPr>
        <w:pStyle w:val="ListParagraph"/>
        <w:numPr>
          <w:ilvl w:val="0"/>
          <w:numId w:val="37"/>
        </w:numPr>
        <w:jc w:val="both"/>
      </w:pPr>
      <w:r w:rsidRPr="00697097">
        <w:t xml:space="preserve">Cabinet agreed </w:t>
      </w:r>
      <w:r w:rsidR="001C0F7B">
        <w:t>the vast majority</w:t>
      </w:r>
      <w:r w:rsidRPr="00697097">
        <w:t xml:space="preserve"> of the recommendations that </w:t>
      </w:r>
      <w:r w:rsidR="001C0F7B">
        <w:t xml:space="preserve">were </w:t>
      </w:r>
      <w:r w:rsidRPr="00697097">
        <w:t xml:space="preserve">endorsed by the Scrutiny Committee on May 29th 2019. </w:t>
      </w:r>
      <w:r w:rsidR="007C36B9">
        <w:t xml:space="preserve">In the period that followed, </w:t>
      </w:r>
      <w:r w:rsidRPr="00697097">
        <w:t>officers worked to pursue the</w:t>
      </w:r>
      <w:r w:rsidR="001C0F7B">
        <w:t>se</w:t>
      </w:r>
      <w:r w:rsidRPr="00697097">
        <w:t xml:space="preserve"> recommendations as fully as possible</w:t>
      </w:r>
      <w:r w:rsidR="00FD051A">
        <w:t>, with areas of notable progress made</w:t>
      </w:r>
      <w:r w:rsidR="006E2BC5">
        <w:t xml:space="preserve">, despite the major shift in </w:t>
      </w:r>
      <w:r w:rsidR="00C2666A">
        <w:t xml:space="preserve">the </w:t>
      </w:r>
      <w:r w:rsidR="006E2BC5">
        <w:t>focus</w:t>
      </w:r>
      <w:r w:rsidR="00C2666A">
        <w:t xml:space="preserve"> of officer resources</w:t>
      </w:r>
      <w:r w:rsidR="006E2BC5">
        <w:t xml:space="preserve"> bought about by the pandemic</w:t>
      </w:r>
      <w:r w:rsidRPr="00697097">
        <w:t xml:space="preserve">. The Update table in Appendix 1 highlights </w:t>
      </w:r>
      <w:r w:rsidR="00DA5352">
        <w:t>the</w:t>
      </w:r>
      <w:r w:rsidR="001C0F7B">
        <w:t xml:space="preserve"> </w:t>
      </w:r>
      <w:r w:rsidRPr="00697097">
        <w:t xml:space="preserve">progress against each </w:t>
      </w:r>
      <w:r w:rsidR="001C0F7B">
        <w:t xml:space="preserve">of these </w:t>
      </w:r>
      <w:r w:rsidRPr="00697097">
        <w:t>recommendation</w:t>
      </w:r>
      <w:r w:rsidR="001C0F7B">
        <w:t>s</w:t>
      </w:r>
      <w:r w:rsidR="007C36B9">
        <w:t xml:space="preserve"> since the October 2020 update,</w:t>
      </w:r>
      <w:r w:rsidR="001C0F7B">
        <w:t xml:space="preserve"> and should be referred to alongside this report for a full update</w:t>
      </w:r>
      <w:r w:rsidRPr="00697097">
        <w:t xml:space="preserve">. </w:t>
      </w:r>
    </w:p>
    <w:p w:rsidR="00491A03" w:rsidRPr="00491A03" w:rsidRDefault="00491A03" w:rsidP="00491A03">
      <w:pPr>
        <w:pStyle w:val="ListParagraph"/>
        <w:numPr>
          <w:ilvl w:val="0"/>
          <w:numId w:val="0"/>
        </w:numPr>
        <w:ind w:left="426" w:hanging="426"/>
        <w:jc w:val="both"/>
        <w:rPr>
          <w:b/>
        </w:rPr>
      </w:pPr>
      <w:r w:rsidRPr="00491A03">
        <w:rPr>
          <w:b/>
        </w:rPr>
        <w:t>COVID-19 and the Visitor Economy</w:t>
      </w:r>
    </w:p>
    <w:p w:rsidR="00491A03" w:rsidRDefault="00F5494C" w:rsidP="00491A03">
      <w:pPr>
        <w:pStyle w:val="ListParagraph"/>
        <w:numPr>
          <w:ilvl w:val="0"/>
          <w:numId w:val="37"/>
        </w:numPr>
        <w:jc w:val="both"/>
      </w:pPr>
      <w:r>
        <w:t>The COVID</w:t>
      </w:r>
      <w:r w:rsidR="002F52C9">
        <w:t>-</w:t>
      </w:r>
      <w:r>
        <w:t xml:space="preserve">19 Pandemic </w:t>
      </w:r>
      <w:r w:rsidRPr="00F5494C">
        <w:t>has dramatically affected the V</w:t>
      </w:r>
      <w:r w:rsidR="001C0F7B">
        <w:t>isitor economy and</w:t>
      </w:r>
      <w:r w:rsidRPr="00F5494C">
        <w:t xml:space="preserve"> reduced city footfall from workers and residents, as well as international tourists. Footfall </w:t>
      </w:r>
      <w:r w:rsidR="007C36B9">
        <w:t>dropped</w:t>
      </w:r>
      <w:r w:rsidRPr="00F5494C">
        <w:t xml:space="preserve"> </w:t>
      </w:r>
      <w:r w:rsidR="008D556D">
        <w:t xml:space="preserve">around </w:t>
      </w:r>
      <w:r w:rsidR="008E5C25">
        <w:t xml:space="preserve">39% year on year and </w:t>
      </w:r>
      <w:r w:rsidR="007C36B9">
        <w:t xml:space="preserve">was at the time of the October </w:t>
      </w:r>
      <w:r w:rsidR="007C36B9">
        <w:lastRenderedPageBreak/>
        <w:t xml:space="preserve">report </w:t>
      </w:r>
      <w:r w:rsidR="008E5C25">
        <w:t>52.9% down for the year to date</w:t>
      </w:r>
      <w:r w:rsidR="004F1742">
        <w:rPr>
          <w:rStyle w:val="FootnoteReference"/>
        </w:rPr>
        <w:footnoteReference w:id="1"/>
      </w:r>
      <w:r w:rsidR="008D556D">
        <w:t>, reflecting Oxford’s reliance on workers, students and of course, tourists</w:t>
      </w:r>
      <w:r w:rsidRPr="00F5494C">
        <w:t xml:space="preserve">. </w:t>
      </w:r>
      <w:r w:rsidR="007C36B9">
        <w:t xml:space="preserve">Further </w:t>
      </w:r>
      <w:r w:rsidRPr="00F5494C">
        <w:t>restrictions</w:t>
      </w:r>
      <w:r w:rsidR="001C0F7B">
        <w:t xml:space="preserve"> </w:t>
      </w:r>
      <w:r w:rsidR="007C36B9">
        <w:t>through the autumn of 2020 and into this year ha</w:t>
      </w:r>
      <w:r w:rsidR="00A62D98">
        <w:t>ve</w:t>
      </w:r>
      <w:r w:rsidR="007C36B9">
        <w:t xml:space="preserve"> further impacted</w:t>
      </w:r>
      <w:r w:rsidR="00A62D98">
        <w:t xml:space="preserve">, with additional significant spells of closure for the majority of our businesses and continuing footfall reductions. </w:t>
      </w:r>
      <w:r w:rsidR="00DA5352">
        <w:t>The Council</w:t>
      </w:r>
      <w:r w:rsidR="00A62D98">
        <w:t xml:space="preserve"> response has been </w:t>
      </w:r>
      <w:r w:rsidR="000A5B57">
        <w:t xml:space="preserve">wide-ranging </w:t>
      </w:r>
      <w:r w:rsidR="00A62D98">
        <w:t>including facili</w:t>
      </w:r>
      <w:r w:rsidR="00DA5352">
        <w:t xml:space="preserve">tating grant and relief support, </w:t>
      </w:r>
      <w:r w:rsidR="000A5B57">
        <w:t>much</w:t>
      </w:r>
      <w:r w:rsidR="00A62D98">
        <w:t xml:space="preserve"> of it targeted specifically at </w:t>
      </w:r>
      <w:r w:rsidR="000A5B57">
        <w:t>visitor economy</w:t>
      </w:r>
      <w:r w:rsidR="00A62D98">
        <w:t xml:space="preserve"> sector</w:t>
      </w:r>
      <w:r w:rsidR="000A5B57">
        <w:t>s</w:t>
      </w:r>
      <w:r w:rsidR="00A62D98">
        <w:t>. The October update to this group suggested that i</w:t>
      </w:r>
      <w:r w:rsidRPr="00F5494C">
        <w:t xml:space="preserve">t is expected the </w:t>
      </w:r>
      <w:r w:rsidR="008E5C25">
        <w:t>economy</w:t>
      </w:r>
      <w:r w:rsidRPr="00F5494C">
        <w:t xml:space="preserve"> will take </w:t>
      </w:r>
      <w:r w:rsidR="008E5C25">
        <w:t xml:space="preserve">at least </w:t>
      </w:r>
      <w:r w:rsidR="008D556D">
        <w:t>three years to recover lost ground</w:t>
      </w:r>
      <w:r w:rsidR="004F1742">
        <w:rPr>
          <w:rStyle w:val="FootnoteReference"/>
        </w:rPr>
        <w:footnoteReference w:id="2"/>
      </w:r>
      <w:r w:rsidR="004F1742">
        <w:t xml:space="preserve"> with of 4-7 years to full recovery of demand the global tourism economy</w:t>
      </w:r>
      <w:r w:rsidR="004F1742">
        <w:rPr>
          <w:rStyle w:val="FootnoteReference"/>
        </w:rPr>
        <w:footnoteReference w:id="3"/>
      </w:r>
      <w:r w:rsidR="008D556D">
        <w:t xml:space="preserve">. This is a </w:t>
      </w:r>
      <w:r w:rsidR="00A52C60">
        <w:t>significant challenge</w:t>
      </w:r>
      <w:r w:rsidR="008D556D">
        <w:t xml:space="preserve"> for a city where 15% of employment is visitor economy related.</w:t>
      </w:r>
      <w:r w:rsidR="00A62D98">
        <w:t xml:space="preserve"> </w:t>
      </w:r>
    </w:p>
    <w:p w:rsidR="00DA5352" w:rsidRDefault="008D556D" w:rsidP="00491A03">
      <w:pPr>
        <w:pStyle w:val="ListParagraph"/>
        <w:numPr>
          <w:ilvl w:val="0"/>
          <w:numId w:val="37"/>
        </w:numPr>
        <w:jc w:val="both"/>
        <w:rPr>
          <w:rStyle w:val="ListParagraphChar"/>
        </w:rPr>
      </w:pPr>
      <w:r>
        <w:rPr>
          <w:rStyle w:val="ListParagraphChar"/>
        </w:rPr>
        <w:t xml:space="preserve">Oxford </w:t>
      </w:r>
      <w:r w:rsidR="001C0F7B">
        <w:rPr>
          <w:rStyle w:val="ListParagraphChar"/>
        </w:rPr>
        <w:t>retains</w:t>
      </w:r>
      <w:r>
        <w:rPr>
          <w:rStyle w:val="ListParagraphChar"/>
        </w:rPr>
        <w:t xml:space="preserve"> inherent </w:t>
      </w:r>
      <w:r w:rsidR="00FD051A">
        <w:rPr>
          <w:rStyle w:val="ListParagraphChar"/>
        </w:rPr>
        <w:t xml:space="preserve">destination </w:t>
      </w:r>
      <w:r>
        <w:rPr>
          <w:rStyle w:val="ListParagraphChar"/>
        </w:rPr>
        <w:t>stre</w:t>
      </w:r>
      <w:r w:rsidR="00FD051A">
        <w:rPr>
          <w:rStyle w:val="ListParagraphChar"/>
        </w:rPr>
        <w:t>ngths</w:t>
      </w:r>
      <w:r w:rsidR="00391AC9">
        <w:rPr>
          <w:rStyle w:val="ListParagraphChar"/>
        </w:rPr>
        <w:t>.</w:t>
      </w:r>
      <w:r w:rsidR="00391AC9" w:rsidRPr="00391AC9">
        <w:rPr>
          <w:rStyle w:val="ListParagraphChar"/>
        </w:rPr>
        <w:t xml:space="preserve"> </w:t>
      </w:r>
      <w:r w:rsidR="00391AC9" w:rsidRPr="008D556D">
        <w:rPr>
          <w:rStyle w:val="ListParagraphChar"/>
        </w:rPr>
        <w:t xml:space="preserve">Oxford City Centre </w:t>
      </w:r>
      <w:r w:rsidR="00391AC9">
        <w:rPr>
          <w:rStyle w:val="ListParagraphChar"/>
        </w:rPr>
        <w:t xml:space="preserve">will continue to </w:t>
      </w:r>
      <w:r w:rsidR="00391AC9" w:rsidRPr="008D556D">
        <w:rPr>
          <w:rStyle w:val="ListParagraphChar"/>
        </w:rPr>
        <w:t xml:space="preserve">provide an important location for </w:t>
      </w:r>
      <w:r w:rsidR="00391AC9">
        <w:rPr>
          <w:rStyle w:val="ListParagraphChar"/>
        </w:rPr>
        <w:t xml:space="preserve">recreation, heritage, </w:t>
      </w:r>
      <w:r w:rsidR="00391AC9" w:rsidRPr="008D556D">
        <w:rPr>
          <w:rStyle w:val="ListParagraphChar"/>
        </w:rPr>
        <w:t>creativity and the arts, benefiting the population of the city and its wider hinterland, as well as attracting tourists to the city</w:t>
      </w:r>
      <w:r w:rsidR="007E2038" w:rsidRPr="008D556D">
        <w:rPr>
          <w:rStyle w:val="ListParagraphChar"/>
        </w:rPr>
        <w:t>.</w:t>
      </w:r>
      <w:r w:rsidR="00391AC9">
        <w:rPr>
          <w:rStyle w:val="ListParagraphChar"/>
        </w:rPr>
        <w:t xml:space="preserve"> As s</w:t>
      </w:r>
      <w:r>
        <w:rPr>
          <w:rStyle w:val="ListParagraphChar"/>
        </w:rPr>
        <w:t>uch t</w:t>
      </w:r>
      <w:r w:rsidRPr="008D556D">
        <w:rPr>
          <w:rStyle w:val="ListParagraphChar"/>
        </w:rPr>
        <w:t>he importance of the Visitor Economy is recognised</w:t>
      </w:r>
      <w:r w:rsidR="001C0F7B">
        <w:rPr>
          <w:rStyle w:val="ListParagraphChar"/>
        </w:rPr>
        <w:t xml:space="preserve"> in the</w:t>
      </w:r>
      <w:r w:rsidRPr="008D556D">
        <w:rPr>
          <w:rStyle w:val="ListParagraphChar"/>
        </w:rPr>
        <w:t xml:space="preserve"> </w:t>
      </w:r>
      <w:r w:rsidR="00C2666A">
        <w:rPr>
          <w:rStyle w:val="ListParagraphChar"/>
        </w:rPr>
        <w:t>emerging</w:t>
      </w:r>
      <w:r w:rsidR="00AF0154">
        <w:rPr>
          <w:rStyle w:val="ListParagraphChar"/>
        </w:rPr>
        <w:t xml:space="preserve"> </w:t>
      </w:r>
      <w:r w:rsidRPr="008D556D">
        <w:rPr>
          <w:rStyle w:val="ListParagraphChar"/>
        </w:rPr>
        <w:t xml:space="preserve">Oxford Economic Strategy and City Centre </w:t>
      </w:r>
      <w:r w:rsidR="00C2666A">
        <w:rPr>
          <w:rStyle w:val="ListParagraphChar"/>
        </w:rPr>
        <w:t>Action Plan (</w:t>
      </w:r>
      <w:r w:rsidRPr="008D556D">
        <w:rPr>
          <w:rStyle w:val="ListParagraphChar"/>
        </w:rPr>
        <w:t xml:space="preserve">due for </w:t>
      </w:r>
      <w:r w:rsidR="00FD051A">
        <w:rPr>
          <w:rStyle w:val="ListParagraphChar"/>
        </w:rPr>
        <w:t xml:space="preserve">draft </w:t>
      </w:r>
      <w:r w:rsidRPr="008D556D">
        <w:rPr>
          <w:rStyle w:val="ListParagraphChar"/>
        </w:rPr>
        <w:t xml:space="preserve">publication </w:t>
      </w:r>
      <w:r>
        <w:rPr>
          <w:rStyle w:val="ListParagraphChar"/>
        </w:rPr>
        <w:t xml:space="preserve">and consultation </w:t>
      </w:r>
      <w:r w:rsidR="00C2666A">
        <w:rPr>
          <w:rStyle w:val="ListParagraphChar"/>
        </w:rPr>
        <w:t>later in 2021</w:t>
      </w:r>
      <w:r w:rsidRPr="008D556D">
        <w:rPr>
          <w:rStyle w:val="ListParagraphChar"/>
        </w:rPr>
        <w:t>).</w:t>
      </w:r>
      <w:r>
        <w:rPr>
          <w:rStyle w:val="ListParagraphChar"/>
        </w:rPr>
        <w:t xml:space="preserve"> </w:t>
      </w:r>
      <w:r w:rsidRPr="008D556D">
        <w:rPr>
          <w:rStyle w:val="ListParagraphChar"/>
        </w:rPr>
        <w:t>A priority for these strategies will be recovering and rebuilding Oxford’s Visitor Economy</w:t>
      </w:r>
      <w:r>
        <w:rPr>
          <w:rStyle w:val="ListParagraphChar"/>
        </w:rPr>
        <w:t>.</w:t>
      </w:r>
      <w:r w:rsidR="00391AC9">
        <w:rPr>
          <w:rStyle w:val="ListParagraphChar"/>
        </w:rPr>
        <w:t xml:space="preserve"> </w:t>
      </w:r>
    </w:p>
    <w:p w:rsidR="00491A03" w:rsidRDefault="008D556D" w:rsidP="00491A03">
      <w:pPr>
        <w:pStyle w:val="ListParagraph"/>
        <w:numPr>
          <w:ilvl w:val="0"/>
          <w:numId w:val="37"/>
        </w:numPr>
        <w:jc w:val="both"/>
      </w:pPr>
      <w:r w:rsidRPr="008D556D">
        <w:t>While Oxford is already a global</w:t>
      </w:r>
      <w:r>
        <w:t xml:space="preserve"> tourist destination</w:t>
      </w:r>
      <w:r w:rsidR="001C0F7B">
        <w:t>,</w:t>
      </w:r>
      <w:r>
        <w:t xml:space="preserve"> more will </w:t>
      </w:r>
      <w:r w:rsidR="001C0F7B">
        <w:t>need</w:t>
      </w:r>
      <w:r w:rsidRPr="008D556D">
        <w:t xml:space="preserve"> to be done to capture longer stays and offer greater diversity of activity to aid recovery and long-term visitor growth. A key part of this will focus on boosting </w:t>
      </w:r>
      <w:r w:rsidR="004F1742">
        <w:t>diversity of uses, and in turn resilience of economic activity in the city centre (e.g. Science and technology, creative and cultural, community and residential activity), which will boost worker and resident visits, as well as those of tourists.</w:t>
      </w:r>
    </w:p>
    <w:p w:rsidR="00391AC9" w:rsidRDefault="008D556D" w:rsidP="00D87338">
      <w:pPr>
        <w:pStyle w:val="ListParagraph"/>
        <w:numPr>
          <w:ilvl w:val="0"/>
          <w:numId w:val="37"/>
        </w:numPr>
        <w:jc w:val="both"/>
      </w:pPr>
      <w:r w:rsidRPr="008D556D">
        <w:t>It should be noted that</w:t>
      </w:r>
      <w:r w:rsidR="001C0F7B">
        <w:t xml:space="preserve"> since March</w:t>
      </w:r>
      <w:r w:rsidR="00391AC9">
        <w:t>,</w:t>
      </w:r>
      <w:r w:rsidR="00AF0154">
        <w:t xml:space="preserve"> the </w:t>
      </w:r>
      <w:r w:rsidR="001C0F7B">
        <w:t>C</w:t>
      </w:r>
      <w:r w:rsidRPr="008D556D">
        <w:t>ity-wide and city centre</w:t>
      </w:r>
      <w:r w:rsidR="00391AC9">
        <w:t xml:space="preserve"> response and then</w:t>
      </w:r>
      <w:r w:rsidRPr="008D556D">
        <w:t xml:space="preserve"> recovery</w:t>
      </w:r>
      <w:r w:rsidR="00086798">
        <w:t xml:space="preserve"> activity </w:t>
      </w:r>
      <w:r w:rsidRPr="008D556D">
        <w:t xml:space="preserve">has </w:t>
      </w:r>
      <w:r w:rsidR="00A62D98">
        <w:t xml:space="preserve">also </w:t>
      </w:r>
      <w:r w:rsidRPr="008D556D">
        <w:t xml:space="preserve">fully utilised officer resource </w:t>
      </w:r>
      <w:r w:rsidR="001C0F7B">
        <w:t>across the council</w:t>
      </w:r>
      <w:r w:rsidRPr="008D556D">
        <w:t xml:space="preserve">. </w:t>
      </w:r>
      <w:r w:rsidR="00AF0154">
        <w:t>As such, progress of the longer-term planning around the Econom</w:t>
      </w:r>
      <w:r w:rsidR="004F1742">
        <w:t>ic</w:t>
      </w:r>
      <w:r w:rsidR="00AF0154">
        <w:t xml:space="preserve"> Development Strategy and also the City Centre </w:t>
      </w:r>
      <w:r w:rsidR="00A62D98">
        <w:t xml:space="preserve">Action Plan </w:t>
      </w:r>
      <w:r w:rsidR="00AF0154">
        <w:t>ha</w:t>
      </w:r>
      <w:r w:rsidR="00A52C60">
        <w:t>s</w:t>
      </w:r>
      <w:r w:rsidR="00AF0154">
        <w:t xml:space="preserve"> been delayed</w:t>
      </w:r>
      <w:r w:rsidR="00C2666A">
        <w:t xml:space="preserve"> to 2021</w:t>
      </w:r>
      <w:r w:rsidR="00AF0154">
        <w:t xml:space="preserve">. </w:t>
      </w:r>
      <w:r w:rsidR="001C0F7B">
        <w:t>Inevitably, t</w:t>
      </w:r>
      <w:r w:rsidRPr="008D556D">
        <w:t xml:space="preserve">he Pandemic has </w:t>
      </w:r>
      <w:r w:rsidR="001C0F7B">
        <w:t>shifted</w:t>
      </w:r>
      <w:r w:rsidRPr="008D556D">
        <w:t xml:space="preserve"> the focus</w:t>
      </w:r>
      <w:r w:rsidR="001C0F7B">
        <w:t xml:space="preserve"> - </w:t>
      </w:r>
      <w:r w:rsidRPr="008D556D">
        <w:t>from on</w:t>
      </w:r>
      <w:r w:rsidR="000C7420">
        <w:t xml:space="preserve">e of demand management and </w:t>
      </w:r>
      <w:r w:rsidRPr="008D556D">
        <w:t xml:space="preserve">increasing the value of visits </w:t>
      </w:r>
      <w:r w:rsidR="001C0F7B">
        <w:t>-</w:t>
      </w:r>
      <w:r w:rsidRPr="008D556D">
        <w:t xml:space="preserve"> to a focus on </w:t>
      </w:r>
      <w:r w:rsidR="000C7420">
        <w:t xml:space="preserve">supporting and </w:t>
      </w:r>
      <w:r w:rsidRPr="008D556D">
        <w:t>restarting the visitor economy</w:t>
      </w:r>
      <w:r w:rsidR="00FD051A">
        <w:t>,</w:t>
      </w:r>
      <w:r w:rsidR="001C0F7B">
        <w:t xml:space="preserve"> </w:t>
      </w:r>
      <w:r w:rsidR="000C7420">
        <w:t xml:space="preserve">following </w:t>
      </w:r>
      <w:r w:rsidR="00FD051A">
        <w:t>an abrupt halt in demand</w:t>
      </w:r>
      <w:r w:rsidR="00856944">
        <w:t xml:space="preserve">. </w:t>
      </w:r>
      <w:r w:rsidR="00A62D98">
        <w:t xml:space="preserve">By May / June 2021 the city centre was starting to see a slow return of visitor numbers, but at nothing like the levels of previous years. It has also been evident that the type of visitor has been different, to summarise being more local / regional visitors than those from further afield / abroad. This has also impacted on the duration of stays, the days visited and the spend profile, so much so that a particular sector of city centre business community is continuing to report challenging economic circumstances, when a number of others are recovering more quickly. </w:t>
      </w:r>
    </w:p>
    <w:p w:rsidR="000A5B57" w:rsidRDefault="000C7420">
      <w:pPr>
        <w:pStyle w:val="ListParagraph"/>
        <w:numPr>
          <w:ilvl w:val="0"/>
          <w:numId w:val="37"/>
        </w:numPr>
        <w:jc w:val="both"/>
      </w:pPr>
      <w:r>
        <w:t xml:space="preserve">A range of businesses have </w:t>
      </w:r>
      <w:r w:rsidR="001C0F7B">
        <w:t xml:space="preserve">needed support to </w:t>
      </w:r>
      <w:r w:rsidR="00391AC9">
        <w:t xml:space="preserve">survive and </w:t>
      </w:r>
      <w:r w:rsidR="001C0F7B">
        <w:t>re</w:t>
      </w:r>
      <w:r w:rsidR="000D770D">
        <w:t>start</w:t>
      </w:r>
      <w:r w:rsidR="008D556D" w:rsidRPr="008D556D">
        <w:t xml:space="preserve">. This has included </w:t>
      </w:r>
      <w:r w:rsidR="00A52C60" w:rsidRPr="00BF00E5">
        <w:rPr>
          <w:color w:val="auto"/>
        </w:rPr>
        <w:t>£</w:t>
      </w:r>
      <w:r w:rsidR="00391AC9" w:rsidRPr="00BF00E5">
        <w:rPr>
          <w:color w:val="auto"/>
        </w:rPr>
        <w:t xml:space="preserve">54m </w:t>
      </w:r>
      <w:r w:rsidR="00A52C60" w:rsidRPr="00BF00E5">
        <w:rPr>
          <w:color w:val="auto"/>
        </w:rPr>
        <w:t>of</w:t>
      </w:r>
      <w:r w:rsidR="008D556D" w:rsidRPr="00BF00E5">
        <w:rPr>
          <w:color w:val="auto"/>
        </w:rPr>
        <w:t xml:space="preserve"> grants</w:t>
      </w:r>
      <w:r w:rsidR="00A52C60" w:rsidRPr="00BF00E5">
        <w:rPr>
          <w:color w:val="auto"/>
        </w:rPr>
        <w:t xml:space="preserve">, </w:t>
      </w:r>
      <w:r w:rsidR="00391AC9" w:rsidRPr="00BF00E5">
        <w:rPr>
          <w:color w:val="auto"/>
        </w:rPr>
        <w:t xml:space="preserve">and </w:t>
      </w:r>
      <w:r w:rsidR="00A52C60" w:rsidRPr="00BF00E5">
        <w:rPr>
          <w:color w:val="auto"/>
        </w:rPr>
        <w:t>£</w:t>
      </w:r>
      <w:r w:rsidR="0067504B" w:rsidRPr="00BF00E5">
        <w:rPr>
          <w:color w:val="auto"/>
        </w:rPr>
        <w:t xml:space="preserve">58.1m </w:t>
      </w:r>
      <w:r w:rsidR="00A52C60" w:rsidRPr="00BF00E5">
        <w:rPr>
          <w:color w:val="auto"/>
        </w:rPr>
        <w:t xml:space="preserve">in rate relief </w:t>
      </w:r>
      <w:r w:rsidR="0067504B" w:rsidRPr="00BF00E5">
        <w:rPr>
          <w:color w:val="auto"/>
        </w:rPr>
        <w:t xml:space="preserve">to date, </w:t>
      </w:r>
      <w:r w:rsidR="00CE25DF" w:rsidRPr="008D556D">
        <w:t>support</w:t>
      </w:r>
      <w:r w:rsidR="008D556D" w:rsidRPr="008D556D">
        <w:t xml:space="preserve"> for our tenants, and a range of new </w:t>
      </w:r>
      <w:r>
        <w:t xml:space="preserve">street level </w:t>
      </w:r>
      <w:r w:rsidR="008D556D" w:rsidRPr="008D556D">
        <w:t>measures to boost consumer confidence in visitor safety and business confidence in reopening</w:t>
      </w:r>
      <w:r w:rsidR="00086798" w:rsidRPr="008D556D">
        <w:t>.</w:t>
      </w:r>
      <w:r w:rsidR="004F1742">
        <w:t xml:space="preserve"> </w:t>
      </w:r>
    </w:p>
    <w:p w:rsidR="0067504B" w:rsidRDefault="004F1742" w:rsidP="00DA5352">
      <w:pPr>
        <w:pStyle w:val="ListParagraph"/>
        <w:numPr>
          <w:ilvl w:val="0"/>
          <w:numId w:val="37"/>
        </w:numPr>
        <w:jc w:val="both"/>
      </w:pPr>
      <w:r>
        <w:t>Visible and notable examples of this include the rapid</w:t>
      </w:r>
      <w:r w:rsidR="00E77149">
        <w:t xml:space="preserve"> set-up of outdoor</w:t>
      </w:r>
      <w:r>
        <w:t xml:space="preserve"> tables and </w:t>
      </w:r>
      <w:r w:rsidR="000A5B57">
        <w:t xml:space="preserve">new </w:t>
      </w:r>
      <w:r w:rsidR="000D770D">
        <w:t xml:space="preserve">public </w:t>
      </w:r>
      <w:r w:rsidR="000A5B57">
        <w:t>spaces</w:t>
      </w:r>
      <w:r w:rsidR="00DA5352">
        <w:t xml:space="preserve"> in key</w:t>
      </w:r>
      <w:r w:rsidR="000A5B57">
        <w:t xml:space="preserve"> </w:t>
      </w:r>
      <w:r w:rsidR="00DA5352">
        <w:t>streets,</w:t>
      </w:r>
      <w:r w:rsidR="00E77149">
        <w:t xml:space="preserve"> such as </w:t>
      </w:r>
      <w:r w:rsidR="002F52C9">
        <w:t xml:space="preserve">Broad Street </w:t>
      </w:r>
      <w:r w:rsidR="000D770D">
        <w:t>Meadow</w:t>
      </w:r>
      <w:r w:rsidR="002F52C9">
        <w:t xml:space="preserve"> </w:t>
      </w:r>
      <w:r w:rsidR="000A5B57">
        <w:t xml:space="preserve">and George </w:t>
      </w:r>
      <w:r w:rsidR="000A5B57">
        <w:lastRenderedPageBreak/>
        <w:t>Street</w:t>
      </w:r>
      <w:r w:rsidR="00022A26">
        <w:t>.</w:t>
      </w:r>
      <w:r w:rsidR="00DA5352">
        <w:t xml:space="preserve"> </w:t>
      </w:r>
      <w:r w:rsidR="00022A26">
        <w:t>T</w:t>
      </w:r>
      <w:r w:rsidR="00E77149">
        <w:t>he City Council</w:t>
      </w:r>
      <w:r w:rsidR="002F52C9">
        <w:t>,</w:t>
      </w:r>
      <w:r w:rsidR="00E77149">
        <w:t xml:space="preserve"> </w:t>
      </w:r>
      <w:r w:rsidR="00DA5352">
        <w:t xml:space="preserve">Experience Oxfordshire, </w:t>
      </w:r>
      <w:r w:rsidR="00E77149">
        <w:t xml:space="preserve">Oxford </w:t>
      </w:r>
      <w:r w:rsidR="002F52C9">
        <w:t xml:space="preserve">Mail, </w:t>
      </w:r>
      <w:proofErr w:type="spellStart"/>
      <w:r w:rsidR="00CE070B">
        <w:t>IndieOxford</w:t>
      </w:r>
      <w:proofErr w:type="spellEnd"/>
      <w:r w:rsidR="00CE070B">
        <w:t xml:space="preserve"> </w:t>
      </w:r>
      <w:r w:rsidR="002F52C9">
        <w:t xml:space="preserve">and </w:t>
      </w:r>
      <w:proofErr w:type="spellStart"/>
      <w:r w:rsidR="002F52C9">
        <w:t>CitySightseeing</w:t>
      </w:r>
      <w:proofErr w:type="spellEnd"/>
      <w:r w:rsidR="002F52C9">
        <w:t xml:space="preserve"> partnership</w:t>
      </w:r>
      <w:r w:rsidR="00DA5352">
        <w:t>’s</w:t>
      </w:r>
      <w:r w:rsidR="002F52C9">
        <w:t xml:space="preserve"> </w:t>
      </w:r>
      <w:r>
        <w:t>#</w:t>
      </w:r>
      <w:proofErr w:type="spellStart"/>
      <w:r w:rsidR="002F52C9">
        <w:t>R</w:t>
      </w:r>
      <w:r>
        <w:t>ediscover</w:t>
      </w:r>
      <w:r w:rsidR="002F52C9">
        <w:t>O</w:t>
      </w:r>
      <w:r>
        <w:t>xford</w:t>
      </w:r>
      <w:proofErr w:type="spellEnd"/>
      <w:r w:rsidR="00E77149">
        <w:t xml:space="preserve"> campaign</w:t>
      </w:r>
      <w:r w:rsidR="002F52C9">
        <w:t>s</w:t>
      </w:r>
      <w:r w:rsidR="00DA5352">
        <w:t xml:space="preserve"> have seen a concerted,</w:t>
      </w:r>
      <w:r w:rsidR="00022A26">
        <w:t xml:space="preserve"> coordinated effort to welcome back visitors safely</w:t>
      </w:r>
      <w:r>
        <w:t>.</w:t>
      </w:r>
      <w:r w:rsidR="00DA5352">
        <w:t xml:space="preserve"> T</w:t>
      </w:r>
      <w:r w:rsidR="000A5B57">
        <w:t>he Reopening High Streets Safely and Welcome Back Funds have been used for this type of activity alongside funds such as Containment Outbreak Management Fund</w:t>
      </w:r>
      <w:r w:rsidR="00DA5352">
        <w:t xml:space="preserve"> to support public spaces. O</w:t>
      </w:r>
      <w:r w:rsidR="00E77149">
        <w:t>ur Business Regulation team is providing ongoing support to business to comply with changing C</w:t>
      </w:r>
      <w:r>
        <w:t>ovid</w:t>
      </w:r>
      <w:r w:rsidR="00E77149">
        <w:t>-19</w:t>
      </w:r>
      <w:r>
        <w:t xml:space="preserve"> rest</w:t>
      </w:r>
      <w:r w:rsidR="00E77149">
        <w:t>rictions</w:t>
      </w:r>
      <w:r>
        <w:t>.</w:t>
      </w:r>
      <w:r w:rsidR="00A52C60" w:rsidRPr="00A52C60">
        <w:t xml:space="preserve"> </w:t>
      </w:r>
      <w:r w:rsidR="00A52C60" w:rsidRPr="008D556D">
        <w:t xml:space="preserve">The focus </w:t>
      </w:r>
      <w:r w:rsidR="002F52C9">
        <w:t>has been</w:t>
      </w:r>
      <w:r w:rsidR="00A52C60">
        <w:t>,</w:t>
      </w:r>
      <w:r w:rsidR="00A52C60" w:rsidRPr="008D556D">
        <w:t xml:space="preserve"> and remains</w:t>
      </w:r>
      <w:r w:rsidR="00A52C60">
        <w:t>,</w:t>
      </w:r>
      <w:r w:rsidR="00A52C60" w:rsidRPr="008D556D">
        <w:t xml:space="preserve"> on the safe re-opening of our city centre and accelerating recovery</w:t>
      </w:r>
      <w:r w:rsidR="00A52C60">
        <w:t xml:space="preserve"> for the time being.</w:t>
      </w:r>
    </w:p>
    <w:p w:rsidR="001C0F7B" w:rsidRDefault="003A2B01" w:rsidP="00022A26">
      <w:pPr>
        <w:pStyle w:val="ListParagraph"/>
        <w:numPr>
          <w:ilvl w:val="0"/>
          <w:numId w:val="37"/>
        </w:numPr>
        <w:jc w:val="both"/>
        <w:rPr>
          <w:color w:val="auto"/>
        </w:rPr>
      </w:pPr>
      <w:r>
        <w:rPr>
          <w:color w:val="auto"/>
        </w:rPr>
        <w:t>C</w:t>
      </w:r>
      <w:r w:rsidR="004F1742" w:rsidRPr="00CE070B">
        <w:rPr>
          <w:color w:val="auto"/>
        </w:rPr>
        <w:t xml:space="preserve">ounty-wide </w:t>
      </w:r>
      <w:proofErr w:type="spellStart"/>
      <w:r w:rsidR="004F1742" w:rsidRPr="00CE070B">
        <w:rPr>
          <w:color w:val="auto"/>
        </w:rPr>
        <w:t>OxLEP</w:t>
      </w:r>
      <w:proofErr w:type="spellEnd"/>
      <w:r w:rsidR="004F1742" w:rsidRPr="00CE070B">
        <w:rPr>
          <w:color w:val="auto"/>
        </w:rPr>
        <w:t xml:space="preserve"> </w:t>
      </w:r>
      <w:r w:rsidR="00022A26" w:rsidRPr="00CE070B">
        <w:rPr>
          <w:color w:val="auto"/>
        </w:rPr>
        <w:t xml:space="preserve">developed and published </w:t>
      </w:r>
      <w:r w:rsidR="004F1742" w:rsidRPr="00CE070B">
        <w:rPr>
          <w:color w:val="auto"/>
        </w:rPr>
        <w:t>an Economic Recovery Plan</w:t>
      </w:r>
      <w:r w:rsidR="00022A26" w:rsidRPr="00CE070B">
        <w:rPr>
          <w:color w:val="auto"/>
        </w:rPr>
        <w:t xml:space="preserve"> (ERP)</w:t>
      </w:r>
      <w:r w:rsidR="004F1742" w:rsidRPr="00CE070B">
        <w:rPr>
          <w:color w:val="auto"/>
        </w:rPr>
        <w:t xml:space="preserve"> </w:t>
      </w:r>
      <w:r w:rsidR="00022A26" w:rsidRPr="00CE070B">
        <w:rPr>
          <w:color w:val="auto"/>
        </w:rPr>
        <w:t xml:space="preserve">in March 2021 </w:t>
      </w:r>
      <w:r w:rsidR="004F1742" w:rsidRPr="00CE070B">
        <w:rPr>
          <w:color w:val="auto"/>
        </w:rPr>
        <w:t>submit</w:t>
      </w:r>
      <w:r w:rsidR="00022A26" w:rsidRPr="00CE070B">
        <w:rPr>
          <w:color w:val="auto"/>
        </w:rPr>
        <w:t>ted</w:t>
      </w:r>
      <w:r w:rsidR="004F1742" w:rsidRPr="00CE070B">
        <w:rPr>
          <w:color w:val="auto"/>
        </w:rPr>
        <w:t xml:space="preserve"> to central Government </w:t>
      </w:r>
      <w:r w:rsidR="00856944" w:rsidRPr="00CE070B">
        <w:rPr>
          <w:color w:val="auto"/>
        </w:rPr>
        <w:t>in</w:t>
      </w:r>
      <w:r w:rsidR="004F1742" w:rsidRPr="00CE070B">
        <w:rPr>
          <w:color w:val="auto"/>
        </w:rPr>
        <w:t xml:space="preserve">, which </w:t>
      </w:r>
      <w:r w:rsidR="00022A26" w:rsidRPr="00CE070B">
        <w:rPr>
          <w:color w:val="auto"/>
        </w:rPr>
        <w:t>makes</w:t>
      </w:r>
      <w:r w:rsidR="00A52C60" w:rsidRPr="00CE070B">
        <w:rPr>
          <w:color w:val="auto"/>
        </w:rPr>
        <w:t xml:space="preserve"> the case</w:t>
      </w:r>
      <w:r w:rsidR="004F1742" w:rsidRPr="00CE070B">
        <w:rPr>
          <w:color w:val="auto"/>
        </w:rPr>
        <w:t xml:space="preserve"> for </w:t>
      </w:r>
      <w:r w:rsidR="00022A26" w:rsidRPr="00CE070B">
        <w:rPr>
          <w:color w:val="auto"/>
        </w:rPr>
        <w:t xml:space="preserve">significant and ongoing </w:t>
      </w:r>
      <w:r w:rsidR="004F1742" w:rsidRPr="00CE070B">
        <w:rPr>
          <w:color w:val="auto"/>
        </w:rPr>
        <w:t>visitor economy sector support</w:t>
      </w:r>
      <w:r>
        <w:rPr>
          <w:color w:val="auto"/>
        </w:rPr>
        <w:t>.</w:t>
      </w:r>
      <w:r w:rsidRPr="003A2B01">
        <w:rPr>
          <w:rStyle w:val="ListParagraphChar"/>
        </w:rPr>
        <w:t xml:space="preserve"> </w:t>
      </w:r>
      <w:r>
        <w:rPr>
          <w:rStyle w:val="ListParagraphChar"/>
        </w:rPr>
        <w:t>Officers have worked to ensure that the Visitor Economy is a key part of this</w:t>
      </w:r>
      <w:r w:rsidR="004F1742" w:rsidRPr="00CE070B">
        <w:rPr>
          <w:color w:val="auto"/>
        </w:rPr>
        <w:t>. This will build on</w:t>
      </w:r>
      <w:r w:rsidR="00E77149" w:rsidRPr="00CE070B">
        <w:rPr>
          <w:color w:val="auto"/>
        </w:rPr>
        <w:t xml:space="preserve"> the case for intervention</w:t>
      </w:r>
      <w:r w:rsidR="004F1742" w:rsidRPr="00CE070B">
        <w:rPr>
          <w:color w:val="auto"/>
        </w:rPr>
        <w:t xml:space="preserve"> made in the LIS Implementation Strategy, which </w:t>
      </w:r>
      <w:proofErr w:type="spellStart"/>
      <w:r w:rsidR="004F1742" w:rsidRPr="00CE070B">
        <w:rPr>
          <w:color w:val="auto"/>
        </w:rPr>
        <w:t>OxLEP</w:t>
      </w:r>
      <w:proofErr w:type="spellEnd"/>
      <w:r w:rsidR="004F1742" w:rsidRPr="00CE070B">
        <w:rPr>
          <w:color w:val="auto"/>
        </w:rPr>
        <w:t xml:space="preserve"> published in September 2020</w:t>
      </w:r>
      <w:r w:rsidR="00A52C60" w:rsidRPr="00CE070B">
        <w:rPr>
          <w:color w:val="auto"/>
        </w:rPr>
        <w:t>.</w:t>
      </w:r>
      <w:r w:rsidR="00C2666A">
        <w:rPr>
          <w:color w:val="auto"/>
        </w:rPr>
        <w:t xml:space="preserve"> </w:t>
      </w:r>
      <w:r w:rsidR="00022A26" w:rsidRPr="00CE070B">
        <w:rPr>
          <w:color w:val="auto"/>
        </w:rPr>
        <w:t>The ERP contains a range of measures that will affect the sector positively if they can be properly resourced. Notably, two ‘Target Proposals’ include, ‘Town Centre Renewal – reviving and repurposing our town centres’; and ‘Visitor Economy Renaissance – preparing our Visitor Economy to bounce back.’</w:t>
      </w:r>
    </w:p>
    <w:p w:rsidR="003A2B01" w:rsidRDefault="003A2B01" w:rsidP="00815716">
      <w:pPr>
        <w:pStyle w:val="ListParagraph"/>
        <w:numPr>
          <w:ilvl w:val="0"/>
          <w:numId w:val="37"/>
        </w:numPr>
        <w:jc w:val="both"/>
        <w:rPr>
          <w:rStyle w:val="ListParagraphChar"/>
        </w:rPr>
      </w:pPr>
      <w:r>
        <w:rPr>
          <w:rStyle w:val="ListParagraphChar"/>
        </w:rPr>
        <w:t>Finally, we have highlighted to Government, through the recent Destination Management Organisation (DMO) Review, that centralised funding, alongside locally raised income is needed to put DMOs on a sustainable footing. We await the outcome of the review and also the review of Local Enterprise Partnerships and their future role. In terms of DMO funding locally, the City Council has funded Experience Oxfordshire until 2023 as an Ambassador of the DMO. It has also commissioned EO on several pieces of work in-line with the actions from this review. See Appendix 1.</w:t>
      </w:r>
    </w:p>
    <w:p w:rsidR="003A2B01" w:rsidRPr="00CE070B" w:rsidRDefault="003A2B01" w:rsidP="003A2B01">
      <w:pPr>
        <w:pStyle w:val="ListParagraph"/>
        <w:numPr>
          <w:ilvl w:val="0"/>
          <w:numId w:val="0"/>
        </w:numPr>
        <w:ind w:left="720"/>
        <w:jc w:val="both"/>
        <w:rPr>
          <w:color w:val="auto"/>
        </w:rPr>
      </w:pPr>
    </w:p>
    <w:p w:rsidR="0040736F" w:rsidRPr="001356F1" w:rsidRDefault="002329CF" w:rsidP="004A6D2F">
      <w:pPr>
        <w:pStyle w:val="Heading1"/>
      </w:pPr>
      <w:r w:rsidRPr="001356F1">
        <w:t>Financial implications</w:t>
      </w:r>
    </w:p>
    <w:p w:rsidR="00E87F7A" w:rsidRPr="001356F1" w:rsidRDefault="003A2B01" w:rsidP="00491A03">
      <w:pPr>
        <w:pStyle w:val="ListParagraph"/>
        <w:numPr>
          <w:ilvl w:val="0"/>
          <w:numId w:val="37"/>
        </w:numPr>
      </w:pPr>
      <w:r>
        <w:t xml:space="preserve">No direct financial implications. </w:t>
      </w:r>
    </w:p>
    <w:p w:rsidR="0040736F" w:rsidRPr="001356F1" w:rsidRDefault="00DA614B" w:rsidP="004A6D2F">
      <w:pPr>
        <w:pStyle w:val="Heading1"/>
      </w:pPr>
      <w:r w:rsidRPr="001356F1">
        <w:t>Legal issues</w:t>
      </w:r>
    </w:p>
    <w:p w:rsidR="003A2B01" w:rsidRPr="001356F1" w:rsidRDefault="003A2B01" w:rsidP="003A2B01">
      <w:pPr>
        <w:pStyle w:val="ListParagraph"/>
        <w:numPr>
          <w:ilvl w:val="0"/>
          <w:numId w:val="37"/>
        </w:numPr>
      </w:pPr>
      <w:r>
        <w:t>No legal issues.</w:t>
      </w:r>
    </w:p>
    <w:p w:rsidR="00E87F7A" w:rsidRPr="001356F1" w:rsidRDefault="00E87F7A" w:rsidP="00E87F7A">
      <w:pPr>
        <w:pStyle w:val="Heading1"/>
      </w:pPr>
      <w:r w:rsidRPr="001356F1">
        <w:t>Conclusion</w:t>
      </w:r>
    </w:p>
    <w:p w:rsidR="00FD051A" w:rsidRDefault="000C7420" w:rsidP="001C0F7B">
      <w:pPr>
        <w:pStyle w:val="ListParagraph"/>
        <w:numPr>
          <w:ilvl w:val="0"/>
          <w:numId w:val="0"/>
        </w:numPr>
        <w:ind w:left="426"/>
        <w:jc w:val="both"/>
      </w:pPr>
      <w:r>
        <w:t>Member</w:t>
      </w:r>
      <w:r w:rsidR="00FD051A">
        <w:t>s</w:t>
      </w:r>
      <w:r>
        <w:t xml:space="preserve"> should note the progress made in challenging circumstances</w:t>
      </w:r>
      <w:r w:rsidR="00C2666A">
        <w:t xml:space="preserve"> and the need to re-prioritise in light of a very different context for the visitor economy and local businesses</w:t>
      </w:r>
      <w:r>
        <w:t xml:space="preserve">. </w:t>
      </w:r>
      <w:r w:rsidR="001C0F7B">
        <w:t>The recommen</w:t>
      </w:r>
      <w:r w:rsidR="008D556D">
        <w:t xml:space="preserve">dations will need ongoing review in-line with </w:t>
      </w:r>
      <w:r>
        <w:t>the City C</w:t>
      </w:r>
      <w:r w:rsidR="001C0F7B">
        <w:t>entre and Economic</w:t>
      </w:r>
      <w:r w:rsidR="008D556D">
        <w:t xml:space="preserve"> Strateg</w:t>
      </w:r>
      <w:r w:rsidR="002F52C9">
        <w:t>ies</w:t>
      </w:r>
      <w:r w:rsidR="001C0F7B">
        <w:t xml:space="preserve"> of which they are a part</w:t>
      </w:r>
      <w:r w:rsidR="008D556D">
        <w:t xml:space="preserve">. However, the current pressing concern </w:t>
      </w:r>
      <w:r w:rsidR="005565B5">
        <w:t xml:space="preserve">still </w:t>
      </w:r>
      <w:r w:rsidR="008D556D">
        <w:t>remains supporting those businesses that are directly i</w:t>
      </w:r>
      <w:r>
        <w:t>mpacted by current restrictions that affect viability and jobs</w:t>
      </w:r>
      <w:r w:rsidR="00CE0D9C">
        <w:t>.</w:t>
      </w:r>
    </w:p>
    <w:p w:rsidR="00CE0D9C" w:rsidRDefault="00CE0D9C" w:rsidP="001C0F7B">
      <w:pPr>
        <w:pStyle w:val="ListParagraph"/>
        <w:numPr>
          <w:ilvl w:val="0"/>
          <w:numId w:val="0"/>
        </w:numPr>
        <w:ind w:left="426"/>
        <w:jc w:val="both"/>
      </w:pPr>
    </w:p>
    <w:p w:rsidR="00BB40FD" w:rsidRDefault="00BB40FD" w:rsidP="001C0F7B">
      <w:pPr>
        <w:pStyle w:val="ListParagraph"/>
        <w:numPr>
          <w:ilvl w:val="0"/>
          <w:numId w:val="0"/>
        </w:numPr>
        <w:ind w:left="426"/>
        <w:jc w:val="both"/>
      </w:pPr>
    </w:p>
    <w:p w:rsidR="00BB40FD" w:rsidRDefault="00BB40FD" w:rsidP="001C0F7B">
      <w:pPr>
        <w:pStyle w:val="ListParagraph"/>
        <w:numPr>
          <w:ilvl w:val="0"/>
          <w:numId w:val="0"/>
        </w:numPr>
        <w:ind w:left="426"/>
        <w:jc w:val="both"/>
      </w:pPr>
    </w:p>
    <w:p w:rsidR="00BB40FD" w:rsidRDefault="00BB40FD" w:rsidP="001C0F7B">
      <w:pPr>
        <w:pStyle w:val="ListParagraph"/>
        <w:numPr>
          <w:ilvl w:val="0"/>
          <w:numId w:val="0"/>
        </w:numPr>
        <w:ind w:left="426"/>
        <w:jc w:val="both"/>
      </w:pPr>
    </w:p>
    <w:p w:rsidR="00BB40FD" w:rsidRPr="001356F1" w:rsidRDefault="00BB40FD" w:rsidP="001C0F7B">
      <w:pPr>
        <w:pStyle w:val="ListParagraph"/>
        <w:numPr>
          <w:ilvl w:val="0"/>
          <w:numId w:val="0"/>
        </w:numPr>
        <w:ind w:left="426"/>
        <w:jc w:val="both"/>
      </w:pPr>
      <w:bookmarkStart w:id="0" w:name="_GoBack"/>
      <w:bookmarkEnd w:id="0"/>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lastRenderedPageBreak/>
              <w:t>Report author</w:t>
            </w:r>
            <w:r w:rsidR="005565B5">
              <w:rPr>
                <w:b/>
              </w:rPr>
              <w:t>s</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97097" w:rsidP="00A46E98">
            <w:r>
              <w:t>Matt Peachey</w:t>
            </w:r>
            <w:r w:rsidR="005565B5">
              <w:t xml:space="preserve"> and Iain Nicholson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97097" w:rsidP="00A46E98">
            <w:r>
              <w:t>Economic Development Manager</w:t>
            </w:r>
            <w:r w:rsidR="005565B5">
              <w:t xml:space="preserve"> and City Centre Manager</w:t>
            </w:r>
          </w:p>
        </w:tc>
      </w:tr>
      <w:tr w:rsidR="008D556D"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8D556D" w:rsidRPr="001356F1" w:rsidRDefault="008D556D" w:rsidP="00A46E98"/>
        </w:tc>
        <w:tc>
          <w:tcPr>
            <w:tcW w:w="4962" w:type="dxa"/>
            <w:tcBorders>
              <w:top w:val="single" w:sz="8" w:space="0" w:color="000000"/>
              <w:left w:val="nil"/>
              <w:bottom w:val="nil"/>
              <w:right w:val="single" w:sz="8" w:space="0" w:color="000000"/>
            </w:tcBorders>
            <w:shd w:val="clear" w:color="auto" w:fill="auto"/>
          </w:tcPr>
          <w:p w:rsidR="008D556D" w:rsidRDefault="008D556D" w:rsidP="00A46E98"/>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97097" w:rsidP="00A46E98">
            <w:r>
              <w:t>Regeneration &amp; Economy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697097">
            <w:r w:rsidRPr="001356F1">
              <w:t xml:space="preserve">01865 </w:t>
            </w:r>
            <w:r w:rsidR="00697097">
              <w:t>252021</w:t>
            </w:r>
          </w:p>
        </w:tc>
      </w:tr>
      <w:tr w:rsidR="005570B5" w:rsidRPr="001356F1" w:rsidTr="00BF00E5">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nil"/>
              <w:right w:val="single" w:sz="8" w:space="0" w:color="000000"/>
            </w:tcBorders>
            <w:shd w:val="clear" w:color="auto" w:fill="auto"/>
          </w:tcPr>
          <w:p w:rsidR="00E87F7A" w:rsidRPr="001356F1" w:rsidRDefault="00697097" w:rsidP="00A46E98">
            <w:pPr>
              <w:rPr>
                <w:rStyle w:val="Hyperlink"/>
                <w:color w:val="000000"/>
              </w:rPr>
            </w:pPr>
            <w:r>
              <w:rPr>
                <w:rStyle w:val="Hyperlink"/>
                <w:color w:val="000000"/>
              </w:rPr>
              <w:t>mpeachey@oxford.gov.uk</w:t>
            </w:r>
          </w:p>
        </w:tc>
      </w:tr>
      <w:tr w:rsidR="00BF00E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BF00E5" w:rsidRPr="001356F1" w:rsidRDefault="00BF00E5" w:rsidP="00A46E98"/>
        </w:tc>
        <w:tc>
          <w:tcPr>
            <w:tcW w:w="4962" w:type="dxa"/>
            <w:tcBorders>
              <w:top w:val="nil"/>
              <w:left w:val="nil"/>
              <w:bottom w:val="single" w:sz="8" w:space="0" w:color="000000"/>
              <w:right w:val="single" w:sz="8" w:space="0" w:color="000000"/>
            </w:tcBorders>
            <w:shd w:val="clear" w:color="auto" w:fill="auto"/>
          </w:tcPr>
          <w:p w:rsidR="00BF00E5" w:rsidRDefault="00BF00E5" w:rsidP="00A46E98">
            <w:pPr>
              <w:rPr>
                <w:rStyle w:val="Hyperlink"/>
                <w:color w:val="000000"/>
              </w:rPr>
            </w:pPr>
          </w:p>
        </w:tc>
      </w:tr>
    </w:tbl>
    <w:p w:rsidR="00433B96"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607D15">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1E3" w:rsidRDefault="008B21E3" w:rsidP="004A6D2F">
      <w:r>
        <w:separator/>
      </w:r>
    </w:p>
  </w:endnote>
  <w:endnote w:type="continuationSeparator" w:id="0">
    <w:p w:rsidR="008B21E3" w:rsidRDefault="008B21E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1E3" w:rsidRDefault="008B21E3" w:rsidP="004A6D2F">
      <w:r>
        <w:separator/>
      </w:r>
    </w:p>
  </w:footnote>
  <w:footnote w:type="continuationSeparator" w:id="0">
    <w:p w:rsidR="008B21E3" w:rsidRDefault="008B21E3" w:rsidP="004A6D2F">
      <w:r>
        <w:continuationSeparator/>
      </w:r>
    </w:p>
  </w:footnote>
  <w:footnote w:id="1">
    <w:p w:rsidR="004F1742" w:rsidRDefault="004F1742">
      <w:pPr>
        <w:pStyle w:val="FootnoteText"/>
      </w:pPr>
      <w:r>
        <w:rPr>
          <w:rStyle w:val="FootnoteReference"/>
        </w:rPr>
        <w:footnoteRef/>
      </w:r>
      <w:r>
        <w:t xml:space="preserve"> Springboard, </w:t>
      </w:r>
      <w:r w:rsidR="00D64FB7">
        <w:t>June</w:t>
      </w:r>
      <w:r>
        <w:t xml:space="preserve">, </w:t>
      </w:r>
      <w:r w:rsidR="00D64FB7">
        <w:t>2021</w:t>
      </w:r>
    </w:p>
  </w:footnote>
  <w:footnote w:id="2">
    <w:p w:rsidR="004F1742" w:rsidRDefault="004F1742">
      <w:pPr>
        <w:pStyle w:val="FootnoteText"/>
      </w:pPr>
      <w:r>
        <w:rPr>
          <w:rStyle w:val="FootnoteReference"/>
        </w:rPr>
        <w:footnoteRef/>
      </w:r>
      <w:r>
        <w:t xml:space="preserve"> Ernst &amp; Young 2020</w:t>
      </w:r>
    </w:p>
  </w:footnote>
  <w:footnote w:id="3">
    <w:p w:rsidR="004F1742" w:rsidRDefault="004F1742">
      <w:pPr>
        <w:pStyle w:val="FootnoteText"/>
      </w:pPr>
      <w:r>
        <w:rPr>
          <w:rStyle w:val="FootnoteReference"/>
        </w:rPr>
        <w:footnoteRef/>
      </w:r>
      <w:r>
        <w:t xml:space="preserve"> McKinsey,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F43158" w:rsidP="00D5547E">
    <w:pPr>
      <w:pStyle w:val="Header"/>
      <w:jc w:val="right"/>
    </w:pPr>
    <w:r>
      <w:rPr>
        <w:noProof/>
      </w:rPr>
      <w:drawing>
        <wp:inline distT="0" distB="0" distL="0" distR="0" wp14:anchorId="0CCCA80F" wp14:editId="2257ECE1">
          <wp:extent cx="838200" cy="1115695"/>
          <wp:effectExtent l="0" t="0" r="0" b="825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56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693B8B"/>
    <w:multiLevelType w:val="hybridMultilevel"/>
    <w:tmpl w:val="D952A28C"/>
    <w:lvl w:ilvl="0" w:tplc="4FE80D06">
      <w:start w:val="1"/>
      <w:numFmt w:val="decimal"/>
      <w:lvlText w:val="%1."/>
      <w:lvlJc w:val="left"/>
      <w:pPr>
        <w:ind w:left="790" w:hanging="360"/>
      </w:pPr>
      <w:rPr>
        <w:rFonts w:hint="default"/>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613B4D"/>
    <w:multiLevelType w:val="hybridMultilevel"/>
    <w:tmpl w:val="692ACB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34252F9"/>
    <w:multiLevelType w:val="hybridMultilevel"/>
    <w:tmpl w:val="505091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B02869"/>
    <w:multiLevelType w:val="hybridMultilevel"/>
    <w:tmpl w:val="13D0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22831"/>
    <w:multiLevelType w:val="multilevel"/>
    <w:tmpl w:val="43D6D2FA"/>
    <w:numStyleLink w:val="StyleBulletedSymbolsymbolLeft063cmHanging063cm"/>
  </w:abstractNum>
  <w:abstractNum w:abstractNumId="33" w15:restartNumberingAfterBreak="0">
    <w:nsid w:val="659F4898"/>
    <w:multiLevelType w:val="hybridMultilevel"/>
    <w:tmpl w:val="0E182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8365C6"/>
    <w:multiLevelType w:val="multilevel"/>
    <w:tmpl w:val="E67CE66C"/>
    <w:numStyleLink w:val="StyleNumberedLeft0cmHanging075cm"/>
  </w:abstractNum>
  <w:num w:numId="1">
    <w:abstractNumId w:val="29"/>
  </w:num>
  <w:num w:numId="2">
    <w:abstractNumId w:val="35"/>
  </w:num>
  <w:num w:numId="3">
    <w:abstractNumId w:val="25"/>
  </w:num>
  <w:num w:numId="4">
    <w:abstractNumId w:val="21"/>
  </w:num>
  <w:num w:numId="5">
    <w:abstractNumId w:val="31"/>
  </w:num>
  <w:num w:numId="6">
    <w:abstractNumId w:val="36"/>
  </w:num>
  <w:num w:numId="7">
    <w:abstractNumId w:val="24"/>
  </w:num>
  <w:num w:numId="8">
    <w:abstractNumId w:val="22"/>
  </w:num>
  <w:num w:numId="9">
    <w:abstractNumId w:val="13"/>
  </w:num>
  <w:num w:numId="10">
    <w:abstractNumId w:val="17"/>
  </w:num>
  <w:num w:numId="11">
    <w:abstractNumId w:val="27"/>
  </w:num>
  <w:num w:numId="12">
    <w:abstractNumId w:val="26"/>
  </w:num>
  <w:num w:numId="13">
    <w:abstractNumId w:val="10"/>
  </w:num>
  <w:num w:numId="14">
    <w:abstractNumId w:val="37"/>
  </w:num>
  <w:num w:numId="15">
    <w:abstractNumId w:val="18"/>
  </w:num>
  <w:num w:numId="16">
    <w:abstractNumId w:val="11"/>
  </w:num>
  <w:num w:numId="17">
    <w:abstractNumId w:val="30"/>
  </w:num>
  <w:num w:numId="18">
    <w:abstractNumId w:val="12"/>
  </w:num>
  <w:num w:numId="19">
    <w:abstractNumId w:val="32"/>
  </w:num>
  <w:num w:numId="20">
    <w:abstractNumId w:val="19"/>
  </w:num>
  <w:num w:numId="21">
    <w:abstractNumId w:val="23"/>
  </w:num>
  <w:num w:numId="22">
    <w:abstractNumId w:val="15"/>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8"/>
  </w:num>
  <w:num w:numId="35">
    <w:abstractNumId w:val="33"/>
  </w:num>
  <w:num w:numId="36">
    <w:abstractNumId w:val="14"/>
  </w:num>
  <w:num w:numId="37">
    <w:abstractNumId w:val="20"/>
  </w:num>
  <w:num w:numId="3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158"/>
    <w:rsid w:val="000117D4"/>
    <w:rsid w:val="00022A26"/>
    <w:rsid w:val="000314D7"/>
    <w:rsid w:val="00045F8B"/>
    <w:rsid w:val="00046D2B"/>
    <w:rsid w:val="0005099B"/>
    <w:rsid w:val="00056263"/>
    <w:rsid w:val="00064D8A"/>
    <w:rsid w:val="00064F82"/>
    <w:rsid w:val="00066510"/>
    <w:rsid w:val="00073EA8"/>
    <w:rsid w:val="00077523"/>
    <w:rsid w:val="00086798"/>
    <w:rsid w:val="000A5B57"/>
    <w:rsid w:val="000B531F"/>
    <w:rsid w:val="000B70E8"/>
    <w:rsid w:val="000C089F"/>
    <w:rsid w:val="000C3928"/>
    <w:rsid w:val="000C5E8E"/>
    <w:rsid w:val="000C7420"/>
    <w:rsid w:val="000D770D"/>
    <w:rsid w:val="000F4751"/>
    <w:rsid w:val="000F4767"/>
    <w:rsid w:val="000F7A32"/>
    <w:rsid w:val="0010524C"/>
    <w:rsid w:val="001076E4"/>
    <w:rsid w:val="00111FB1"/>
    <w:rsid w:val="00113418"/>
    <w:rsid w:val="001356F1"/>
    <w:rsid w:val="00136994"/>
    <w:rsid w:val="0014128E"/>
    <w:rsid w:val="00151888"/>
    <w:rsid w:val="00170A2D"/>
    <w:rsid w:val="001752AD"/>
    <w:rsid w:val="001808BC"/>
    <w:rsid w:val="00182B81"/>
    <w:rsid w:val="0018619D"/>
    <w:rsid w:val="001A011E"/>
    <w:rsid w:val="001A066A"/>
    <w:rsid w:val="001A13E6"/>
    <w:rsid w:val="001A5731"/>
    <w:rsid w:val="001B42C3"/>
    <w:rsid w:val="001C0F7B"/>
    <w:rsid w:val="001C5D5E"/>
    <w:rsid w:val="001D35C6"/>
    <w:rsid w:val="001D678D"/>
    <w:rsid w:val="001E03F8"/>
    <w:rsid w:val="001E1678"/>
    <w:rsid w:val="001E3376"/>
    <w:rsid w:val="001F0067"/>
    <w:rsid w:val="001F7CE9"/>
    <w:rsid w:val="002069B3"/>
    <w:rsid w:val="00213F76"/>
    <w:rsid w:val="002329CF"/>
    <w:rsid w:val="00232F5B"/>
    <w:rsid w:val="00243E9F"/>
    <w:rsid w:val="00247C29"/>
    <w:rsid w:val="00260467"/>
    <w:rsid w:val="00263EA3"/>
    <w:rsid w:val="00284F85"/>
    <w:rsid w:val="00290915"/>
    <w:rsid w:val="002A22E2"/>
    <w:rsid w:val="002A276A"/>
    <w:rsid w:val="002C4733"/>
    <w:rsid w:val="002C64F7"/>
    <w:rsid w:val="002F41F2"/>
    <w:rsid w:val="002F52C9"/>
    <w:rsid w:val="00300392"/>
    <w:rsid w:val="00301BF3"/>
    <w:rsid w:val="0030208D"/>
    <w:rsid w:val="00323418"/>
    <w:rsid w:val="003357BF"/>
    <w:rsid w:val="00364FAD"/>
    <w:rsid w:val="0036738F"/>
    <w:rsid w:val="0036759C"/>
    <w:rsid w:val="00367AE5"/>
    <w:rsid w:val="00367D71"/>
    <w:rsid w:val="0038150A"/>
    <w:rsid w:val="00382EE7"/>
    <w:rsid w:val="00391AC9"/>
    <w:rsid w:val="003A2B01"/>
    <w:rsid w:val="003B6E75"/>
    <w:rsid w:val="003B7DA1"/>
    <w:rsid w:val="003D0379"/>
    <w:rsid w:val="003D2574"/>
    <w:rsid w:val="003D4C59"/>
    <w:rsid w:val="003E5C8F"/>
    <w:rsid w:val="003E65C7"/>
    <w:rsid w:val="003F4267"/>
    <w:rsid w:val="00404032"/>
    <w:rsid w:val="0040736F"/>
    <w:rsid w:val="00412C1F"/>
    <w:rsid w:val="00415AC1"/>
    <w:rsid w:val="00415EA9"/>
    <w:rsid w:val="00421CB2"/>
    <w:rsid w:val="004268B9"/>
    <w:rsid w:val="004326DD"/>
    <w:rsid w:val="00433B96"/>
    <w:rsid w:val="004440F1"/>
    <w:rsid w:val="004456DD"/>
    <w:rsid w:val="00446CDF"/>
    <w:rsid w:val="00450829"/>
    <w:rsid w:val="004521B7"/>
    <w:rsid w:val="0045721D"/>
    <w:rsid w:val="00462AB5"/>
    <w:rsid w:val="00465EAF"/>
    <w:rsid w:val="004738C5"/>
    <w:rsid w:val="004814EF"/>
    <w:rsid w:val="00491046"/>
    <w:rsid w:val="00491A03"/>
    <w:rsid w:val="00497222"/>
    <w:rsid w:val="004A2AC7"/>
    <w:rsid w:val="004A6D2F"/>
    <w:rsid w:val="004C2887"/>
    <w:rsid w:val="004D2626"/>
    <w:rsid w:val="004D6E26"/>
    <w:rsid w:val="004D77D3"/>
    <w:rsid w:val="004E2959"/>
    <w:rsid w:val="004F1742"/>
    <w:rsid w:val="004F20EF"/>
    <w:rsid w:val="0050321C"/>
    <w:rsid w:val="00506535"/>
    <w:rsid w:val="0054712D"/>
    <w:rsid w:val="00547EF6"/>
    <w:rsid w:val="005545D5"/>
    <w:rsid w:val="005565B5"/>
    <w:rsid w:val="005570B5"/>
    <w:rsid w:val="00567E18"/>
    <w:rsid w:val="00573732"/>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07D15"/>
    <w:rsid w:val="00614693"/>
    <w:rsid w:val="00623C2F"/>
    <w:rsid w:val="00633578"/>
    <w:rsid w:val="00637068"/>
    <w:rsid w:val="00650811"/>
    <w:rsid w:val="00661D3E"/>
    <w:rsid w:val="0067504B"/>
    <w:rsid w:val="00692627"/>
    <w:rsid w:val="006969E7"/>
    <w:rsid w:val="00697097"/>
    <w:rsid w:val="006A2434"/>
    <w:rsid w:val="006A3643"/>
    <w:rsid w:val="006C2A29"/>
    <w:rsid w:val="006C64CF"/>
    <w:rsid w:val="006D17B1"/>
    <w:rsid w:val="006D4752"/>
    <w:rsid w:val="006D708A"/>
    <w:rsid w:val="006E14C1"/>
    <w:rsid w:val="006E2BC5"/>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C36B9"/>
    <w:rsid w:val="007C5C23"/>
    <w:rsid w:val="007E2038"/>
    <w:rsid w:val="007E2A26"/>
    <w:rsid w:val="007F2348"/>
    <w:rsid w:val="00803F07"/>
    <w:rsid w:val="0080749A"/>
    <w:rsid w:val="008161E9"/>
    <w:rsid w:val="00821FB8"/>
    <w:rsid w:val="00822ACD"/>
    <w:rsid w:val="00855C66"/>
    <w:rsid w:val="00856944"/>
    <w:rsid w:val="00871EE4"/>
    <w:rsid w:val="00874346"/>
    <w:rsid w:val="008B21E3"/>
    <w:rsid w:val="008B293F"/>
    <w:rsid w:val="008B7371"/>
    <w:rsid w:val="008D3DDB"/>
    <w:rsid w:val="008D556D"/>
    <w:rsid w:val="008E5C25"/>
    <w:rsid w:val="008F06F2"/>
    <w:rsid w:val="008F2007"/>
    <w:rsid w:val="008F573F"/>
    <w:rsid w:val="009034EC"/>
    <w:rsid w:val="0093067A"/>
    <w:rsid w:val="009369B0"/>
    <w:rsid w:val="00941C60"/>
    <w:rsid w:val="00941FD1"/>
    <w:rsid w:val="00951739"/>
    <w:rsid w:val="00966D42"/>
    <w:rsid w:val="00971689"/>
    <w:rsid w:val="00973E90"/>
    <w:rsid w:val="00975B07"/>
    <w:rsid w:val="00975E7B"/>
    <w:rsid w:val="00980B4A"/>
    <w:rsid w:val="009A3F72"/>
    <w:rsid w:val="009E3D0A"/>
    <w:rsid w:val="009E51FC"/>
    <w:rsid w:val="009F1D28"/>
    <w:rsid w:val="009F7618"/>
    <w:rsid w:val="00A04D23"/>
    <w:rsid w:val="00A06766"/>
    <w:rsid w:val="00A13765"/>
    <w:rsid w:val="00A21B12"/>
    <w:rsid w:val="00A23F80"/>
    <w:rsid w:val="00A46E98"/>
    <w:rsid w:val="00A52844"/>
    <w:rsid w:val="00A52C60"/>
    <w:rsid w:val="00A56785"/>
    <w:rsid w:val="00A62D98"/>
    <w:rsid w:val="00A6352B"/>
    <w:rsid w:val="00A701B5"/>
    <w:rsid w:val="00A714BB"/>
    <w:rsid w:val="00A77147"/>
    <w:rsid w:val="00A92D8F"/>
    <w:rsid w:val="00AB2988"/>
    <w:rsid w:val="00AB7999"/>
    <w:rsid w:val="00AD3292"/>
    <w:rsid w:val="00AE7AF0"/>
    <w:rsid w:val="00AF0154"/>
    <w:rsid w:val="00B01994"/>
    <w:rsid w:val="00B500CA"/>
    <w:rsid w:val="00B86314"/>
    <w:rsid w:val="00BA1C2E"/>
    <w:rsid w:val="00BB40FD"/>
    <w:rsid w:val="00BC200B"/>
    <w:rsid w:val="00BC4756"/>
    <w:rsid w:val="00BC69A4"/>
    <w:rsid w:val="00BE0680"/>
    <w:rsid w:val="00BE305F"/>
    <w:rsid w:val="00BE64F7"/>
    <w:rsid w:val="00BE7BA3"/>
    <w:rsid w:val="00BF00E5"/>
    <w:rsid w:val="00BF5682"/>
    <w:rsid w:val="00BF7B09"/>
    <w:rsid w:val="00C150A4"/>
    <w:rsid w:val="00C20A95"/>
    <w:rsid w:val="00C2666A"/>
    <w:rsid w:val="00C2692F"/>
    <w:rsid w:val="00C3207C"/>
    <w:rsid w:val="00C400E1"/>
    <w:rsid w:val="00C41187"/>
    <w:rsid w:val="00C63C31"/>
    <w:rsid w:val="00C74540"/>
    <w:rsid w:val="00C757A0"/>
    <w:rsid w:val="00C760DE"/>
    <w:rsid w:val="00C82630"/>
    <w:rsid w:val="00C85B4E"/>
    <w:rsid w:val="00C907F7"/>
    <w:rsid w:val="00CA2103"/>
    <w:rsid w:val="00CB6B99"/>
    <w:rsid w:val="00CD5769"/>
    <w:rsid w:val="00CE070B"/>
    <w:rsid w:val="00CE0D9C"/>
    <w:rsid w:val="00CE25DF"/>
    <w:rsid w:val="00CE4C87"/>
    <w:rsid w:val="00CE544A"/>
    <w:rsid w:val="00D11E1C"/>
    <w:rsid w:val="00D160B0"/>
    <w:rsid w:val="00D17F94"/>
    <w:rsid w:val="00D223FC"/>
    <w:rsid w:val="00D26D1E"/>
    <w:rsid w:val="00D474CF"/>
    <w:rsid w:val="00D5547E"/>
    <w:rsid w:val="00D637CB"/>
    <w:rsid w:val="00D64FB7"/>
    <w:rsid w:val="00D860E2"/>
    <w:rsid w:val="00D869A1"/>
    <w:rsid w:val="00DA413F"/>
    <w:rsid w:val="00DA4584"/>
    <w:rsid w:val="00DA5352"/>
    <w:rsid w:val="00DA614B"/>
    <w:rsid w:val="00DB7AD7"/>
    <w:rsid w:val="00DC3060"/>
    <w:rsid w:val="00DC5553"/>
    <w:rsid w:val="00DE0FB2"/>
    <w:rsid w:val="00DF093E"/>
    <w:rsid w:val="00E01F42"/>
    <w:rsid w:val="00E206D6"/>
    <w:rsid w:val="00E3366E"/>
    <w:rsid w:val="00E4156D"/>
    <w:rsid w:val="00E52086"/>
    <w:rsid w:val="00E543A6"/>
    <w:rsid w:val="00E60479"/>
    <w:rsid w:val="00E61D73"/>
    <w:rsid w:val="00E67882"/>
    <w:rsid w:val="00E73684"/>
    <w:rsid w:val="00E77149"/>
    <w:rsid w:val="00E818D6"/>
    <w:rsid w:val="00E87F7A"/>
    <w:rsid w:val="00E94B3E"/>
    <w:rsid w:val="00E96BD7"/>
    <w:rsid w:val="00EA0DB1"/>
    <w:rsid w:val="00EA0EE9"/>
    <w:rsid w:val="00EB015E"/>
    <w:rsid w:val="00ED52CA"/>
    <w:rsid w:val="00ED5860"/>
    <w:rsid w:val="00ED6CD7"/>
    <w:rsid w:val="00EE35C9"/>
    <w:rsid w:val="00F05ECA"/>
    <w:rsid w:val="00F3566E"/>
    <w:rsid w:val="00F375FB"/>
    <w:rsid w:val="00F41AC1"/>
    <w:rsid w:val="00F43158"/>
    <w:rsid w:val="00F4367A"/>
    <w:rsid w:val="00F445B1"/>
    <w:rsid w:val="00F45CD4"/>
    <w:rsid w:val="00F5494C"/>
    <w:rsid w:val="00F66DCA"/>
    <w:rsid w:val="00F74F53"/>
    <w:rsid w:val="00F7606D"/>
    <w:rsid w:val="00F81670"/>
    <w:rsid w:val="00F82024"/>
    <w:rsid w:val="00F95BC9"/>
    <w:rsid w:val="00FA624C"/>
    <w:rsid w:val="00FD051A"/>
    <w:rsid w:val="00FD0FAC"/>
    <w:rsid w:val="00FD1DFA"/>
    <w:rsid w:val="00FD4966"/>
    <w:rsid w:val="00FE1812"/>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A2DF6C7C-D575-46EC-84A5-1B1A851C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rsid w:val="004F1742"/>
    <w:rPr>
      <w:sz w:val="20"/>
      <w:szCs w:val="2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link w:val="FootnoteText"/>
    <w:rsid w:val="004F1742"/>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rsid w:val="004F17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8428">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85E26-DC90-44F9-89AC-96197C33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C1D7E21F</Template>
  <TotalTime>30</TotalTime>
  <Pages>4</Pages>
  <Words>1165</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7483</CharactersWithSpaces>
  <SharedDoc>false</SharedDoc>
  <HLinks>
    <vt:vector size="12" baseType="variant">
      <vt:variant>
        <vt:i4>5701649</vt:i4>
      </vt:variant>
      <vt:variant>
        <vt:i4>3</vt:i4>
      </vt:variant>
      <vt:variant>
        <vt:i4>0</vt:i4>
      </vt:variant>
      <vt:variant>
        <vt:i4>5</vt:i4>
      </vt:variant>
      <vt:variant>
        <vt:lpwstr>https://www.englandoriginals.com/</vt:lpwstr>
      </vt:variant>
      <vt:variant>
        <vt:lpwstr/>
      </vt:variant>
      <vt:variant>
        <vt:i4>1703944</vt:i4>
      </vt:variant>
      <vt:variant>
        <vt:i4>0</vt:i4>
      </vt:variant>
      <vt:variant>
        <vt:i4>0</vt:i4>
      </vt:variant>
      <vt:variant>
        <vt:i4>5</vt:i4>
      </vt:variant>
      <vt:variant>
        <vt:lpwstr>https://www.visitbritain.org/tourism-sector-deal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inicholson</dc:creator>
  <cp:keywords/>
  <cp:lastModifiedBy>MITCHELL John</cp:lastModifiedBy>
  <cp:revision>9</cp:revision>
  <cp:lastPrinted>2015-07-03T12:50:00Z</cp:lastPrinted>
  <dcterms:created xsi:type="dcterms:W3CDTF">2021-08-23T10:23:00Z</dcterms:created>
  <dcterms:modified xsi:type="dcterms:W3CDTF">2021-08-31T11:57:00Z</dcterms:modified>
</cp:coreProperties>
</file>